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53 vom 21. September 2023</w:t>
      </w:r>
    </w:p>
    <w:p>
      <w:r>
        <w:t>SZ Gerichte, 2023-09-21, DE</w:t>
      </w:r>
    </w:p>
    <w:p>
      <w:r>
        <w:rPr>
          <w:b/>
        </w:rPr>
        <w:t xml:space="preserve">Quelle: </w:t>
      </w:r>
      <w:r>
        <w:t>https://mcp.opencaselaw.ch/entscheid/sz_gerichte_ZK2 2023 53</w:t>
      </w:r>
    </w:p>
    <w:p>
      <w:r>
        <w:t>FR: SZ_GERICHTE ZK2 2023 53 du 21 septembre 2023</w:t>
      </w:r>
    </w:p>
    <w:p>
      <w:r>
        <w:t>IT: SZ_GERICHTE ZK2 2023 53 del 21 settembre 2023</w:t>
      </w:r>
    </w:p>
    <w:p>
      <w:pPr>
        <w:pStyle w:val="Heading2"/>
      </w:pPr>
      <w:r>
        <w:t>Regeste</w:t>
      </w:r>
    </w:p>
    <w:p>
      <w:r>
        <w:t>Mietausweisung | Rechtsschutz in klaren Fällen</w:t>
      </w:r>
    </w:p>
    <w:p>
      <w:pPr>
        <w:pStyle w:val="Heading2"/>
      </w:pPr>
      <w:r>
        <w:t>Erwägungen</w:t>
      </w:r>
    </w:p>
    <w:p>
      <w:r>
        <w:rPr>
          <w:b/>
        </w:rPr>
        <w:t>E. 1</w:t>
      </w:r>
    </w:p>
    <w:p>
      <w:r>
        <w:t>A.________, Gesuchsgegner und Beschwerdeführer,</w:t>
      </w:r>
    </w:p>
    <w:p>
      <w:r>
        <w:rPr>
          <w:b/>
        </w:rPr>
        <w:t>E. 2</w:t>
      </w:r>
    </w:p>
    <w:p>
      <w:r>
        <w:t>B.________ Gesuchsgegnerin und Beschwerdeführerin, \n vertreten durch A.________, gegen C.________, Gesuchstellerin und Beschwerdegegnerin, \n \n \n \n \n \n \n \n \n \n betreffend \n Mietausweisung \n \n \n \n (Beschwerde gegen die Verfügung der Einzelrichterin am Bezirksgericht Schwyz vom 14. Juli 2023, ZES 2023 256);- \n \n \n hat die 2. Zivilkammer, \n \n nachdem sich ergeben und in Erwägung: \n 1. Die Gesuchstellerin gelangte am 30. Mai 2023 an die Einzelrichterin am Bezirksgericht Schwyz und ersuchte im Sinne des Rechtsschutzes in klaren Fällen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